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A90901" w:rsidRDefault="00F325FF" w:rsidP="00942799">
      <w:pPr>
        <w:spacing w:line="200" w:lineRule="exact"/>
        <w:ind w:firstLine="2880"/>
        <w:jc w:val="center"/>
        <w:rPr>
          <w:rFonts w:ascii="Arial" w:hAnsi="Arial" w:cs="Arial"/>
          <w:b/>
          <w:lang w:val="sr-Cyrl-CS"/>
        </w:rPr>
      </w:pPr>
      <w:r>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6C749A" w:rsidRPr="00A90901">
        <w:rPr>
          <w:rFonts w:ascii="Arial" w:hAnsi="Arial" w:cs="Arial"/>
          <w:b/>
          <w:noProof/>
          <w:lang w:val="sr-Cyrl-CS"/>
        </w:rPr>
        <w:t>РЕПУБЛИКА СРБИЈА</w:t>
      </w:r>
    </w:p>
    <w:p w:rsidR="00F37666" w:rsidRPr="00A90901" w:rsidRDefault="00F37666" w:rsidP="00942799">
      <w:pPr>
        <w:spacing w:line="200" w:lineRule="exact"/>
        <w:ind w:firstLine="2880"/>
        <w:jc w:val="center"/>
        <w:rPr>
          <w:rFonts w:ascii="Arial" w:hAnsi="Arial" w:cs="Arial"/>
          <w:b/>
          <w:lang w:val="sr-Cyrl-CS"/>
        </w:rPr>
      </w:pPr>
      <w:r w:rsidRPr="00A90901">
        <w:rPr>
          <w:rFonts w:ascii="Arial" w:hAnsi="Arial" w:cs="Arial"/>
          <w:b/>
          <w:lang w:val="sr-Cyrl-CS"/>
        </w:rPr>
        <w:t>ГРАДСКИ ЗАВОД ЗА ЈАВНО ЗДРАВЉЕ, БЕОГРАД</w:t>
      </w:r>
    </w:p>
    <w:p w:rsidR="00F37666" w:rsidRPr="00A90901" w:rsidRDefault="00F37666" w:rsidP="00942799">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11000 БЕОГРАД, Булевар деспота Стефана 54</w:t>
      </w:r>
      <w:r w:rsidR="003C73F3" w:rsidRPr="00A90901">
        <w:rPr>
          <w:rFonts w:ascii="Arial" w:hAnsi="Arial" w:cs="Arial"/>
          <w:sz w:val="20"/>
          <w:szCs w:val="20"/>
          <w:lang w:val="sr-Latn-CS"/>
        </w:rPr>
        <w:t>-</w:t>
      </w:r>
      <w:r w:rsidRPr="00A90901">
        <w:rPr>
          <w:rFonts w:ascii="Arial" w:hAnsi="Arial" w:cs="Arial"/>
          <w:sz w:val="20"/>
          <w:szCs w:val="20"/>
          <w:lang w:val="sr-Cyrl-CS"/>
        </w:rPr>
        <w:t>а</w:t>
      </w:r>
    </w:p>
    <w:p w:rsidR="00F37666" w:rsidRPr="00A90901" w:rsidRDefault="00F37666" w:rsidP="00942799">
      <w:pPr>
        <w:tabs>
          <w:tab w:val="left" w:pos="9356"/>
        </w:tabs>
        <w:spacing w:after="120" w:line="200" w:lineRule="exact"/>
        <w:ind w:firstLine="2880"/>
        <w:jc w:val="center"/>
        <w:rPr>
          <w:rFonts w:ascii="Arial" w:hAnsi="Arial" w:cs="Arial"/>
          <w:sz w:val="20"/>
          <w:szCs w:val="20"/>
          <w:lang w:val="sr-Cyrl-CS"/>
        </w:rPr>
      </w:pPr>
      <w:r w:rsidRPr="00A90901">
        <w:rPr>
          <w:rFonts w:ascii="Arial" w:hAnsi="Arial" w:cs="Arial"/>
          <w:sz w:val="20"/>
          <w:szCs w:val="20"/>
          <w:lang w:val="sr-Cyrl-CS"/>
        </w:rPr>
        <w:t>Централа: 20 78 600   е-</w:t>
      </w:r>
      <w:r w:rsidRPr="00A90901">
        <w:rPr>
          <w:rFonts w:ascii="Arial" w:hAnsi="Arial" w:cs="Arial"/>
          <w:sz w:val="20"/>
          <w:szCs w:val="20"/>
        </w:rPr>
        <w:t>mail</w:t>
      </w:r>
      <w:r w:rsidRPr="00A90901">
        <w:rPr>
          <w:rFonts w:ascii="Arial" w:hAnsi="Arial" w:cs="Arial"/>
          <w:sz w:val="20"/>
          <w:szCs w:val="20"/>
          <w:lang w:val="sr-Cyrl-CS"/>
        </w:rPr>
        <w:t xml:space="preserve">: </w:t>
      </w:r>
      <w:r w:rsidR="00352F53" w:rsidRPr="00A90901">
        <w:rPr>
          <w:rFonts w:ascii="Arial" w:hAnsi="Arial" w:cs="Arial"/>
          <w:sz w:val="20"/>
          <w:szCs w:val="20"/>
        </w:rPr>
        <w:t>info</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C92FF2" w:rsidRPr="00A90901">
        <w:rPr>
          <w:rFonts w:ascii="Arial" w:hAnsi="Arial" w:cs="Arial"/>
          <w:sz w:val="20"/>
          <w:szCs w:val="20"/>
        </w:rPr>
        <w:t>rs</w:t>
      </w:r>
      <w:r w:rsidRPr="00A90901">
        <w:rPr>
          <w:rFonts w:ascii="Arial" w:hAnsi="Arial" w:cs="Arial"/>
          <w:sz w:val="20"/>
          <w:szCs w:val="20"/>
          <w:lang w:val="sr-Cyrl-CS"/>
        </w:rPr>
        <w:t xml:space="preserve">    </w:t>
      </w:r>
      <w:r w:rsidRPr="00A90901">
        <w:rPr>
          <w:rFonts w:ascii="Arial" w:hAnsi="Arial" w:cs="Arial"/>
          <w:sz w:val="20"/>
          <w:szCs w:val="20"/>
        </w:rPr>
        <w:t>www</w:t>
      </w:r>
      <w:r w:rsidRPr="00A90901">
        <w:rPr>
          <w:rFonts w:ascii="Arial" w:hAnsi="Arial" w:cs="Arial"/>
          <w:sz w:val="20"/>
          <w:szCs w:val="20"/>
          <w:lang w:val="sr-Cyrl-CS"/>
        </w:rPr>
        <w:t>.</w:t>
      </w:r>
      <w:r w:rsidRPr="00A90901">
        <w:rPr>
          <w:rFonts w:ascii="Arial" w:hAnsi="Arial" w:cs="Arial"/>
          <w:sz w:val="20"/>
          <w:szCs w:val="20"/>
        </w:rPr>
        <w:t>zdravlje</w:t>
      </w:r>
      <w:r w:rsidRPr="00A90901">
        <w:rPr>
          <w:rFonts w:ascii="Arial" w:hAnsi="Arial" w:cs="Arial"/>
          <w:sz w:val="20"/>
          <w:szCs w:val="20"/>
          <w:lang w:val="sr-Cyrl-CS"/>
        </w:rPr>
        <w:t>.</w:t>
      </w:r>
      <w:r w:rsidRPr="00A90901">
        <w:rPr>
          <w:rFonts w:ascii="Arial" w:hAnsi="Arial" w:cs="Arial"/>
          <w:sz w:val="20"/>
          <w:szCs w:val="20"/>
        </w:rPr>
        <w:t>org</w:t>
      </w:r>
      <w:r w:rsidRPr="00A90901">
        <w:rPr>
          <w:rFonts w:ascii="Arial" w:hAnsi="Arial" w:cs="Arial"/>
          <w:sz w:val="20"/>
          <w:szCs w:val="20"/>
          <w:lang w:val="sr-Cyrl-CS"/>
        </w:rPr>
        <w:t>.</w:t>
      </w:r>
      <w:r w:rsidR="003C73F3" w:rsidRPr="00A90901">
        <w:rPr>
          <w:rFonts w:ascii="Arial" w:hAnsi="Arial" w:cs="Arial"/>
          <w:sz w:val="20"/>
          <w:szCs w:val="20"/>
          <w:lang w:val="sr-Latn-CS"/>
        </w:rPr>
        <w:t>rs</w:t>
      </w:r>
    </w:p>
    <w:p w:rsidR="00AE63A6" w:rsidRPr="00A90901" w:rsidRDefault="00AE63A6" w:rsidP="00AE63A6">
      <w:pPr>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 xml:space="preserve">Директор – тел: 32 33 976, факс: 32 27 828 </w:t>
      </w:r>
      <w:r w:rsidRPr="00A90901">
        <w:rPr>
          <w:rFonts w:ascii="Arial" w:hAnsi="Arial" w:cs="Arial"/>
          <w:sz w:val="20"/>
          <w:szCs w:val="20"/>
        </w:rPr>
        <w:t>email</w:t>
      </w:r>
      <w:r w:rsidRPr="00A90901">
        <w:rPr>
          <w:rFonts w:ascii="Arial" w:hAnsi="Arial" w:cs="Arial"/>
          <w:sz w:val="20"/>
          <w:szCs w:val="20"/>
          <w:lang w:val="sr-Cyrl-CS"/>
        </w:rPr>
        <w:t xml:space="preserve">: </w:t>
      </w:r>
      <w:r w:rsidRPr="00A90901">
        <w:rPr>
          <w:rFonts w:ascii="Arial" w:hAnsi="Arial" w:cs="Arial"/>
          <w:sz w:val="20"/>
          <w:szCs w:val="20"/>
        </w:rPr>
        <w:t>dir</w:t>
      </w:r>
      <w:r w:rsidR="00AC401F" w:rsidRPr="00A90901">
        <w:rPr>
          <w:rFonts w:ascii="Arial" w:hAnsi="Arial" w:cs="Arial"/>
          <w:sz w:val="20"/>
          <w:szCs w:val="20"/>
        </w:rPr>
        <w:t>ektor</w:t>
      </w:r>
      <w:r w:rsidRPr="00A90901">
        <w:rPr>
          <w:rFonts w:ascii="Arial" w:hAnsi="Arial" w:cs="Arial"/>
          <w:sz w:val="20"/>
          <w:szCs w:val="20"/>
          <w:lang w:val="sr-Cyrl-CS"/>
        </w:rPr>
        <w:t>@</w:t>
      </w:r>
      <w:r w:rsidR="00AC401F" w:rsidRPr="00A90901">
        <w:rPr>
          <w:rFonts w:ascii="Arial" w:hAnsi="Arial" w:cs="Arial"/>
          <w:sz w:val="20"/>
          <w:szCs w:val="20"/>
          <w:lang w:val="sr-Latn-CS"/>
        </w:rPr>
        <w:t>zdravlje.org.</w:t>
      </w:r>
      <w:r w:rsidR="00C92FF2" w:rsidRPr="00A90901">
        <w:rPr>
          <w:rFonts w:ascii="Arial" w:hAnsi="Arial" w:cs="Arial"/>
          <w:sz w:val="20"/>
          <w:szCs w:val="20"/>
        </w:rPr>
        <w:t>rs</w:t>
      </w:r>
    </w:p>
    <w:p w:rsidR="0096265E" w:rsidRPr="00A90901" w:rsidRDefault="00652D5B" w:rsidP="00E60D6E">
      <w:pPr>
        <w:tabs>
          <w:tab w:val="left" w:pos="9356"/>
        </w:tabs>
        <w:spacing w:before="120" w:after="120" w:line="200" w:lineRule="exact"/>
        <w:ind w:firstLine="2880"/>
        <w:jc w:val="center"/>
        <w:rPr>
          <w:rFonts w:ascii="Arial" w:hAnsi="Arial" w:cs="Arial"/>
          <w:b/>
          <w:lang w:val="sr-Cyrl-CS"/>
        </w:rPr>
      </w:pPr>
      <w:r w:rsidRPr="00A90901">
        <w:rPr>
          <w:rFonts w:ascii="Arial" w:hAnsi="Arial" w:cs="Arial"/>
          <w:b/>
          <w:lang w:val="sr-Cyrl-CS"/>
        </w:rPr>
        <w:t>Служба за правне послове</w:t>
      </w:r>
    </w:p>
    <w:p w:rsidR="00C17732" w:rsidRPr="00A90901" w:rsidRDefault="003E75ED" w:rsidP="007F2027">
      <w:pPr>
        <w:tabs>
          <w:tab w:val="left" w:pos="9356"/>
        </w:tabs>
        <w:spacing w:before="120" w:after="120" w:line="200" w:lineRule="exact"/>
        <w:jc w:val="center"/>
        <w:rPr>
          <w:rFonts w:ascii="Arial" w:hAnsi="Arial" w:cs="Arial"/>
          <w:sz w:val="20"/>
          <w:szCs w:val="20"/>
          <w:lang w:val="sr-Cyrl-CS"/>
        </w:rPr>
      </w:pPr>
      <w:r w:rsidRPr="003E75ED">
        <w:rPr>
          <w:rFonts w:ascii="Arial" w:hAnsi="Arial" w:cs="Arial"/>
          <w:noProof/>
        </w:rPr>
        <w:pict>
          <v:line id="_x0000_s1029" style="position:absolute;left:0;text-align:left;z-index:251658240" from="2in,14pt" to="513pt,14pt"/>
        </w:pict>
      </w:r>
      <w:r w:rsidR="007F2027" w:rsidRPr="00A90901">
        <w:rPr>
          <w:rFonts w:ascii="Arial" w:hAnsi="Arial" w:cs="Arial"/>
          <w:sz w:val="20"/>
          <w:szCs w:val="20"/>
          <w:lang w:val="sr-Cyrl-CS"/>
        </w:rPr>
        <w:t xml:space="preserve">                                            </w:t>
      </w:r>
      <w:r w:rsidR="00652D5B" w:rsidRPr="00A90901">
        <w:rPr>
          <w:rFonts w:ascii="Arial" w:hAnsi="Arial" w:cs="Arial"/>
          <w:sz w:val="20"/>
          <w:szCs w:val="20"/>
          <w:lang w:val="sr-Cyrl-CS"/>
        </w:rPr>
        <w:t xml:space="preserve">Тел:  </w:t>
      </w:r>
      <w:r w:rsidR="002303DA" w:rsidRPr="00A90901">
        <w:rPr>
          <w:rFonts w:ascii="Arial" w:hAnsi="Arial" w:cs="Arial"/>
          <w:sz w:val="20"/>
          <w:szCs w:val="20"/>
          <w:lang w:val="sr-Cyrl-CS"/>
        </w:rPr>
        <w:t>20 78 631</w:t>
      </w:r>
      <w:r w:rsidR="00652D5B" w:rsidRPr="00A90901">
        <w:rPr>
          <w:rFonts w:ascii="Arial" w:hAnsi="Arial" w:cs="Arial"/>
          <w:sz w:val="20"/>
          <w:szCs w:val="20"/>
          <w:lang w:val="sr-Cyrl-CS"/>
        </w:rPr>
        <w:t xml:space="preserve">        Факс:  </w:t>
      </w:r>
      <w:r w:rsidR="002303DA" w:rsidRPr="00A90901">
        <w:rPr>
          <w:rFonts w:ascii="Arial" w:hAnsi="Arial" w:cs="Arial"/>
          <w:sz w:val="20"/>
          <w:szCs w:val="20"/>
          <w:lang w:val="sr-Cyrl-CS"/>
        </w:rPr>
        <w:t>32 27 828</w:t>
      </w:r>
      <w:r w:rsidR="00652D5B" w:rsidRPr="00A90901">
        <w:rPr>
          <w:rFonts w:ascii="Arial" w:hAnsi="Arial" w:cs="Arial"/>
          <w:sz w:val="20"/>
          <w:szCs w:val="20"/>
          <w:lang w:val="sr-Cyrl-CS"/>
        </w:rPr>
        <w:t xml:space="preserve">       </w:t>
      </w:r>
      <w:r w:rsidR="00652D5B" w:rsidRPr="00A90901">
        <w:rPr>
          <w:rFonts w:ascii="Arial" w:hAnsi="Arial" w:cs="Arial"/>
          <w:sz w:val="20"/>
          <w:szCs w:val="20"/>
        </w:rPr>
        <w:t>e</w:t>
      </w:r>
      <w:r w:rsidR="00652D5B" w:rsidRPr="00A90901">
        <w:rPr>
          <w:rFonts w:ascii="Arial" w:hAnsi="Arial" w:cs="Arial"/>
          <w:sz w:val="20"/>
          <w:szCs w:val="20"/>
          <w:lang w:val="sr-Cyrl-CS"/>
        </w:rPr>
        <w:t>-</w:t>
      </w:r>
      <w:r w:rsidR="00652D5B" w:rsidRPr="00A90901">
        <w:rPr>
          <w:rFonts w:ascii="Arial" w:hAnsi="Arial" w:cs="Arial"/>
          <w:sz w:val="20"/>
          <w:szCs w:val="20"/>
        </w:rPr>
        <w:t>mail</w:t>
      </w:r>
      <w:r w:rsidR="00652D5B" w:rsidRPr="00A90901">
        <w:rPr>
          <w:rFonts w:ascii="Arial" w:hAnsi="Arial" w:cs="Arial"/>
          <w:sz w:val="20"/>
          <w:szCs w:val="20"/>
          <w:lang w:val="sr-Cyrl-CS"/>
        </w:rPr>
        <w:t xml:space="preserve">: </w:t>
      </w:r>
      <w:r w:rsidR="002303DA" w:rsidRPr="00A90901">
        <w:rPr>
          <w:rFonts w:ascii="Arial" w:hAnsi="Arial" w:cs="Arial"/>
          <w:sz w:val="20"/>
          <w:szCs w:val="20"/>
        </w:rPr>
        <w:t>dusica</w:t>
      </w:r>
      <w:r w:rsidR="002303DA" w:rsidRPr="00A90901">
        <w:rPr>
          <w:rFonts w:ascii="Arial" w:hAnsi="Arial" w:cs="Arial"/>
          <w:sz w:val="20"/>
          <w:szCs w:val="20"/>
          <w:lang w:val="sr-Cyrl-CS"/>
        </w:rPr>
        <w:t>.</w:t>
      </w:r>
      <w:r w:rsidR="002303DA" w:rsidRPr="00A90901">
        <w:rPr>
          <w:rFonts w:ascii="Arial" w:hAnsi="Arial" w:cs="Arial"/>
          <w:sz w:val="20"/>
          <w:szCs w:val="20"/>
        </w:rPr>
        <w:t>jovanovic</w:t>
      </w:r>
      <w:r w:rsidR="002303DA" w:rsidRPr="00A90901">
        <w:rPr>
          <w:rFonts w:ascii="Arial" w:hAnsi="Arial" w:cs="Arial"/>
          <w:sz w:val="20"/>
          <w:szCs w:val="20"/>
          <w:lang w:val="sr-Cyrl-CS"/>
        </w:rPr>
        <w:t>@</w:t>
      </w:r>
      <w:r w:rsidR="002303DA" w:rsidRPr="00A90901">
        <w:rPr>
          <w:rFonts w:ascii="Arial" w:hAnsi="Arial" w:cs="Arial"/>
          <w:sz w:val="20"/>
          <w:szCs w:val="20"/>
        </w:rPr>
        <w:t>zdravlje</w:t>
      </w:r>
      <w:r w:rsidR="002303DA" w:rsidRPr="00A90901">
        <w:rPr>
          <w:rFonts w:ascii="Arial" w:hAnsi="Arial" w:cs="Arial"/>
          <w:sz w:val="20"/>
          <w:szCs w:val="20"/>
          <w:lang w:val="sr-Cyrl-CS"/>
        </w:rPr>
        <w:t>.</w:t>
      </w:r>
      <w:r w:rsidR="002303DA" w:rsidRPr="00A90901">
        <w:rPr>
          <w:rFonts w:ascii="Arial" w:hAnsi="Arial" w:cs="Arial"/>
          <w:sz w:val="20"/>
          <w:szCs w:val="20"/>
        </w:rPr>
        <w:t>org</w:t>
      </w:r>
      <w:r w:rsidR="002303DA" w:rsidRPr="00A90901">
        <w:rPr>
          <w:rFonts w:ascii="Arial" w:hAnsi="Arial" w:cs="Arial"/>
          <w:sz w:val="20"/>
          <w:szCs w:val="20"/>
          <w:lang w:val="sr-Cyrl-CS"/>
        </w:rPr>
        <w:t>.</w:t>
      </w:r>
      <w:r w:rsidR="00C92FF2" w:rsidRPr="00A90901">
        <w:rPr>
          <w:rFonts w:ascii="Arial" w:hAnsi="Arial" w:cs="Arial"/>
          <w:sz w:val="20"/>
          <w:szCs w:val="20"/>
        </w:rPr>
        <w:t>rs</w:t>
      </w:r>
    </w:p>
    <w:p w:rsidR="00F37666" w:rsidRPr="00A90901" w:rsidRDefault="00F37666" w:rsidP="00942799">
      <w:pPr>
        <w:tabs>
          <w:tab w:val="left" w:pos="9356"/>
        </w:tabs>
        <w:spacing w:line="200" w:lineRule="exact"/>
        <w:ind w:firstLine="2880"/>
        <w:jc w:val="center"/>
        <w:rPr>
          <w:rFonts w:ascii="Arial" w:hAnsi="Arial" w:cs="Arial"/>
          <w:sz w:val="20"/>
          <w:szCs w:val="20"/>
          <w:lang w:val="sr-Latn-CS"/>
        </w:rPr>
      </w:pPr>
      <w:r w:rsidRPr="00A90901">
        <w:rPr>
          <w:rFonts w:ascii="Arial" w:hAnsi="Arial" w:cs="Arial"/>
          <w:sz w:val="20"/>
          <w:szCs w:val="20"/>
          <w:lang w:val="sr-Cyrl-CS"/>
        </w:rPr>
        <w:t xml:space="preserve">Жиро рачун: 840 – 627667 </w:t>
      </w:r>
      <w:r w:rsidR="00901EA8" w:rsidRPr="00A90901">
        <w:rPr>
          <w:rFonts w:ascii="Arial" w:hAnsi="Arial" w:cs="Arial"/>
          <w:sz w:val="20"/>
          <w:szCs w:val="20"/>
          <w:lang w:val="sr-Cyrl-CS"/>
        </w:rPr>
        <w:t>–</w:t>
      </w:r>
      <w:r w:rsidRPr="00A90901">
        <w:rPr>
          <w:rFonts w:ascii="Arial" w:hAnsi="Arial" w:cs="Arial"/>
          <w:sz w:val="20"/>
          <w:szCs w:val="20"/>
          <w:lang w:val="sr-Cyrl-CS"/>
        </w:rPr>
        <w:t xml:space="preserve"> 91</w:t>
      </w:r>
    </w:p>
    <w:p w:rsidR="00AC401F" w:rsidRDefault="00AC401F" w:rsidP="00AC401F">
      <w:pPr>
        <w:tabs>
          <w:tab w:val="left" w:pos="9356"/>
        </w:tabs>
        <w:spacing w:line="200" w:lineRule="exact"/>
        <w:ind w:firstLine="2880"/>
        <w:jc w:val="center"/>
        <w:rPr>
          <w:rFonts w:ascii="Arial" w:hAnsi="Arial" w:cs="Arial"/>
          <w:sz w:val="20"/>
          <w:szCs w:val="20"/>
          <w:lang w:val="sr-Cyrl-CS"/>
        </w:rPr>
      </w:pPr>
      <w:r w:rsidRPr="00A90901">
        <w:rPr>
          <w:rFonts w:ascii="Arial" w:hAnsi="Arial" w:cs="Arial"/>
          <w:sz w:val="20"/>
          <w:szCs w:val="20"/>
          <w:lang w:val="sr-Cyrl-CS"/>
        </w:rPr>
        <w:t>ПИБ 100044907 Матични број 07041152</w:t>
      </w:r>
    </w:p>
    <w:p w:rsidR="003D5F95" w:rsidRPr="00A90901" w:rsidRDefault="003D5F95" w:rsidP="00AC401F">
      <w:pPr>
        <w:tabs>
          <w:tab w:val="left" w:pos="9356"/>
        </w:tabs>
        <w:spacing w:line="200" w:lineRule="exact"/>
        <w:ind w:firstLine="2880"/>
        <w:jc w:val="center"/>
        <w:rPr>
          <w:rFonts w:ascii="Arial" w:hAnsi="Arial" w:cs="Arial"/>
          <w:sz w:val="20"/>
          <w:szCs w:val="20"/>
          <w:lang w:val="sr-Cyrl-CS"/>
        </w:rPr>
      </w:pPr>
    </w:p>
    <w:p w:rsidR="00BA7B42" w:rsidRPr="003D5F95" w:rsidRDefault="00BA7B42" w:rsidP="00BA7B42">
      <w:pPr>
        <w:tabs>
          <w:tab w:val="left" w:pos="5715"/>
        </w:tabs>
        <w:spacing w:after="0" w:line="240" w:lineRule="auto"/>
        <w:ind w:firstLine="540"/>
        <w:jc w:val="center"/>
        <w:rPr>
          <w:rFonts w:ascii="Arial" w:hAnsi="Arial" w:cs="Arial"/>
          <w:b/>
          <w:lang w:val="sr-Cyrl-CS"/>
        </w:rPr>
      </w:pPr>
      <w:r w:rsidRPr="003D5F95">
        <w:rPr>
          <w:rFonts w:ascii="Arial" w:hAnsi="Arial" w:cs="Arial"/>
          <w:b/>
          <w:lang w:val="sr-Cyrl-CS"/>
        </w:rPr>
        <w:t xml:space="preserve">Појашњење тендерске документације ВНР </w:t>
      </w:r>
      <w:r w:rsidRPr="003D5F95">
        <w:rPr>
          <w:rFonts w:ascii="Arial" w:hAnsi="Arial" w:cs="Arial"/>
          <w:b/>
        </w:rPr>
        <w:t>04-I-39/15</w:t>
      </w:r>
    </w:p>
    <w:p w:rsidR="00BA7B42" w:rsidRDefault="00BA7B42" w:rsidP="00BA7B42">
      <w:pPr>
        <w:tabs>
          <w:tab w:val="left" w:pos="5715"/>
        </w:tabs>
        <w:spacing w:after="0" w:line="240" w:lineRule="auto"/>
        <w:ind w:firstLine="540"/>
        <w:jc w:val="center"/>
        <w:rPr>
          <w:rFonts w:ascii="Arial" w:hAnsi="Arial" w:cs="Arial"/>
        </w:rPr>
      </w:pPr>
    </w:p>
    <w:p w:rsidR="003D5F95" w:rsidRPr="003D5F95" w:rsidRDefault="003D5F95" w:rsidP="00BA7B42">
      <w:pPr>
        <w:tabs>
          <w:tab w:val="left" w:pos="5715"/>
        </w:tabs>
        <w:spacing w:after="0" w:line="240" w:lineRule="auto"/>
        <w:ind w:firstLine="540"/>
        <w:jc w:val="center"/>
        <w:rPr>
          <w:rFonts w:ascii="Arial" w:hAnsi="Arial" w:cs="Arial"/>
        </w:rPr>
      </w:pPr>
    </w:p>
    <w:p w:rsidR="00BA7B42" w:rsidRPr="003D5F95" w:rsidRDefault="003D5F95" w:rsidP="003D5F95">
      <w:pPr>
        <w:spacing w:line="240" w:lineRule="auto"/>
        <w:ind w:left="-567" w:right="-2"/>
        <w:jc w:val="both"/>
        <w:rPr>
          <w:rFonts w:ascii="Arial" w:hAnsi="Arial" w:cs="Arial"/>
        </w:rPr>
      </w:pPr>
      <w:r>
        <w:rPr>
          <w:rFonts w:ascii="Arial" w:hAnsi="Arial" w:cs="Arial"/>
        </w:rPr>
        <w:t xml:space="preserve">         </w:t>
      </w:r>
      <w:r w:rsidR="00BA7B42" w:rsidRPr="003D5F95">
        <w:rPr>
          <w:rFonts w:ascii="Arial" w:hAnsi="Arial" w:cs="Arial"/>
          <w:lang w:val="sr-Cyrl-CS"/>
        </w:rPr>
        <w:t xml:space="preserve">У поступку јавне набавке број </w:t>
      </w:r>
      <w:r w:rsidR="00BA7B42" w:rsidRPr="003D5F95">
        <w:rPr>
          <w:rFonts w:ascii="Arial" w:hAnsi="Arial" w:cs="Arial"/>
          <w:b/>
          <w:lang w:val="sr-Cyrl-CS"/>
        </w:rPr>
        <w:t>ВНР 02</w:t>
      </w:r>
      <w:r w:rsidR="00BA7B42" w:rsidRPr="003D5F95">
        <w:rPr>
          <w:rFonts w:ascii="Arial" w:hAnsi="Arial" w:cs="Arial"/>
          <w:b/>
        </w:rPr>
        <w:t>-I-04/15</w:t>
      </w:r>
      <w:r w:rsidR="00BA7B42" w:rsidRPr="003D5F95">
        <w:rPr>
          <w:rFonts w:ascii="Arial" w:hAnsi="Arial" w:cs="Arial"/>
          <w:lang w:val="ru-RU"/>
        </w:rPr>
        <w:t>, добра</w:t>
      </w:r>
      <w:r>
        <w:rPr>
          <w:rFonts w:ascii="Arial" w:hAnsi="Arial" w:cs="Arial"/>
          <w:b/>
          <w:lang w:val="ru-RU"/>
        </w:rPr>
        <w:t xml:space="preserve"> </w:t>
      </w:r>
      <w:r w:rsidR="00BA7B42" w:rsidRPr="003D5F95">
        <w:rPr>
          <w:rFonts w:ascii="Arial" w:hAnsi="Arial" w:cs="Arial"/>
          <w:b/>
          <w:lang w:val="ru-RU"/>
        </w:rPr>
        <w:t>–</w:t>
      </w:r>
      <w:r>
        <w:rPr>
          <w:rFonts w:ascii="Arial" w:hAnsi="Arial" w:cs="Arial"/>
          <w:b/>
          <w:lang w:val="ru-RU"/>
        </w:rPr>
        <w:t xml:space="preserve"> </w:t>
      </w:r>
      <w:r w:rsidR="00BA7B42" w:rsidRPr="003D5F95">
        <w:rPr>
          <w:rFonts w:ascii="Arial" w:hAnsi="Arial" w:cs="Arial"/>
          <w:b/>
          <w:bCs/>
        </w:rPr>
        <w:t>набавка вакцина (по партијама)</w:t>
      </w:r>
      <w:r w:rsidR="00BA7B42" w:rsidRPr="003D5F95">
        <w:rPr>
          <w:rFonts w:ascii="Arial" w:hAnsi="Arial" w:cs="Arial"/>
          <w:lang w:val="sr-Cyrl-CS"/>
        </w:rPr>
        <w:t>,  сагласно члану 63. став 2. Закона о јавним набавкама, (,,Службени гласник РС“, бр. 124/12, у даљем тексту: Закон),</w:t>
      </w:r>
      <w:r w:rsidR="00BA7B42" w:rsidRPr="003D5F95">
        <w:rPr>
          <w:rFonts w:ascii="Arial" w:hAnsi="Arial" w:cs="Arial"/>
        </w:rPr>
        <w:t xml:space="preserve"> пристигл</w:t>
      </w:r>
      <w:r w:rsidR="00BA7B42" w:rsidRPr="003D5F95">
        <w:rPr>
          <w:rFonts w:ascii="Arial" w:hAnsi="Arial" w:cs="Arial"/>
          <w:lang w:val="sr-Cyrl-CS"/>
        </w:rPr>
        <w:t>а</w:t>
      </w:r>
      <w:r w:rsidR="00BA7B42" w:rsidRPr="003D5F95">
        <w:rPr>
          <w:rFonts w:ascii="Arial" w:hAnsi="Arial" w:cs="Arial"/>
        </w:rPr>
        <w:t xml:space="preserve"> </w:t>
      </w:r>
      <w:r w:rsidR="00BA7B42" w:rsidRPr="003D5F95">
        <w:rPr>
          <w:rFonts w:ascii="Arial" w:hAnsi="Arial" w:cs="Arial"/>
          <w:lang w:val="sr-Cyrl-CS"/>
        </w:rPr>
        <w:t xml:space="preserve">су </w:t>
      </w:r>
      <w:r w:rsidR="00BA7B42" w:rsidRPr="003D5F95">
        <w:rPr>
          <w:rFonts w:ascii="Arial" w:hAnsi="Arial" w:cs="Arial"/>
        </w:rPr>
        <w:t>питањ</w:t>
      </w:r>
      <w:r w:rsidR="00BA7B42" w:rsidRPr="003D5F95">
        <w:rPr>
          <w:rFonts w:ascii="Arial" w:hAnsi="Arial" w:cs="Arial"/>
          <w:lang w:val="sr-Cyrl-CS"/>
        </w:rPr>
        <w:t>а</w:t>
      </w:r>
      <w:r w:rsidR="00BA7B42" w:rsidRPr="003D5F95">
        <w:rPr>
          <w:rFonts w:ascii="Arial" w:hAnsi="Arial" w:cs="Arial"/>
        </w:rPr>
        <w:t xml:space="preserve"> којим се </w:t>
      </w:r>
      <w:r w:rsidR="00BA7B42" w:rsidRPr="003D5F95">
        <w:rPr>
          <w:rFonts w:ascii="Arial" w:hAnsi="Arial" w:cs="Arial"/>
          <w:lang w:val="sr-Cyrl-CS"/>
        </w:rPr>
        <w:t>од Комисије за јавну набавку захтева појашњење конкурсне документације за  предметну јавну набавку</w:t>
      </w:r>
      <w:r w:rsidR="00BA7B42" w:rsidRPr="003D5F95">
        <w:rPr>
          <w:rFonts w:ascii="Arial" w:hAnsi="Arial" w:cs="Arial"/>
          <w:lang w:val="ru-RU"/>
        </w:rPr>
        <w:t>.</w:t>
      </w:r>
    </w:p>
    <w:p w:rsidR="003D5F95" w:rsidRPr="003D5F95" w:rsidRDefault="00BA7B42" w:rsidP="003D5F95">
      <w:pPr>
        <w:pStyle w:val="ListParagraph"/>
        <w:numPr>
          <w:ilvl w:val="0"/>
          <w:numId w:val="2"/>
        </w:numPr>
        <w:ind w:left="-142" w:right="-2" w:hanging="425"/>
        <w:jc w:val="both"/>
        <w:rPr>
          <w:rFonts w:ascii="Arial" w:hAnsi="Arial" w:cs="Arial"/>
          <w:b/>
        </w:rPr>
      </w:pPr>
      <w:r w:rsidRPr="003D5F95">
        <w:rPr>
          <w:rFonts w:ascii="Arial" w:hAnsi="Arial" w:cs="Arial"/>
          <w:b/>
          <w:u w:val="single"/>
          <w:lang w:val="sr-Cyrl-CS" w:bidi="he-IL"/>
        </w:rPr>
        <w:t>Питање:</w:t>
      </w:r>
      <w:r w:rsidRPr="003D5F95">
        <w:rPr>
          <w:rFonts w:ascii="Arial" w:hAnsi="Arial" w:cs="Arial"/>
          <w:b/>
          <w:lang w:val="sr-Cyrl-CS" w:bidi="he-IL"/>
        </w:rPr>
        <w:t xml:space="preserve"> </w:t>
      </w:r>
      <w:r w:rsidRPr="003D5F95">
        <w:rPr>
          <w:rFonts w:ascii="Arial" w:hAnsi="Arial" w:cs="Arial"/>
          <w:lang w:val="sr-Cyrl-CS" w:bidi="he-IL"/>
        </w:rPr>
        <w:t xml:space="preserve"> </w:t>
      </w:r>
      <w:r w:rsidR="003D5F95" w:rsidRPr="003D5F95">
        <w:rPr>
          <w:rFonts w:ascii="Arial" w:hAnsi="Arial" w:cs="Arial"/>
        </w:rPr>
        <w:t xml:space="preserve">Конкурсном документацијом </w:t>
      </w:r>
      <w:r w:rsidR="003D5F95" w:rsidRPr="003D5F95">
        <w:rPr>
          <w:rFonts w:ascii="Arial" w:hAnsi="Arial" w:cs="Arial"/>
          <w:lang w:val="sr-Cyrl-CS"/>
        </w:rPr>
        <w:t>- тачка 17</w:t>
      </w:r>
      <w:r w:rsidR="003D5F95" w:rsidRPr="003D5F95">
        <w:rPr>
          <w:rFonts w:ascii="Arial" w:hAnsi="Arial" w:cs="Arial"/>
        </w:rPr>
        <w:t>.</w:t>
      </w:r>
      <w:r w:rsidR="003D5F95" w:rsidRPr="003D5F95">
        <w:rPr>
          <w:rFonts w:ascii="Arial" w:hAnsi="Arial" w:cs="Arial"/>
          <w:lang w:val="sr-Cyrl-CS"/>
        </w:rPr>
        <w:t xml:space="preserve"> Упутства пону</w:t>
      </w:r>
      <w:r w:rsidR="003D5F95" w:rsidRPr="003D5F95">
        <w:rPr>
          <w:rFonts w:ascii="Arial" w:hAnsi="Arial" w:cs="Arial"/>
        </w:rPr>
        <w:t>ђ</w:t>
      </w:r>
      <w:r w:rsidR="003D5F95" w:rsidRPr="003D5F95">
        <w:rPr>
          <w:rFonts w:ascii="Arial" w:hAnsi="Arial" w:cs="Arial"/>
          <w:lang w:val="sr-Cyrl-CS"/>
        </w:rPr>
        <w:t>ачима,</w:t>
      </w:r>
      <w:r w:rsidR="003D5F95" w:rsidRPr="003D5F95">
        <w:rPr>
          <w:rFonts w:ascii="Arial" w:hAnsi="Arial" w:cs="Arial"/>
        </w:rPr>
        <w:t xml:space="preserve"> као</w:t>
      </w:r>
      <w:r w:rsidR="003D5F95" w:rsidRPr="003D5F95">
        <w:rPr>
          <w:rFonts w:ascii="Arial" w:hAnsi="Arial" w:cs="Arial"/>
          <w:lang w:val="sr-Cyrl-CS"/>
        </w:rPr>
        <w:t xml:space="preserve"> један од елемената критеријума за избор </w:t>
      </w:r>
      <w:r w:rsidR="003D5F95" w:rsidRPr="003D5F95">
        <w:rPr>
          <w:rFonts w:ascii="Arial" w:hAnsi="Arial" w:cs="Arial"/>
          <w:b/>
          <w:lang w:val="sr-Cyrl-CS"/>
        </w:rPr>
        <w:t>економски најповољније понуде</w:t>
      </w:r>
      <w:r w:rsidR="003D5F95" w:rsidRPr="003D5F95">
        <w:rPr>
          <w:rFonts w:ascii="Arial" w:hAnsi="Arial" w:cs="Arial"/>
          <w:lang w:val="sr-Cyrl-CS"/>
        </w:rPr>
        <w:t xml:space="preserve"> је предвиђен </w:t>
      </w:r>
      <w:r w:rsidR="003D5F95" w:rsidRPr="003D5F95">
        <w:rPr>
          <w:rFonts w:ascii="Arial" w:hAnsi="Arial" w:cs="Arial"/>
          <w:b/>
          <w:lang w:val="sr-Cyrl-CS"/>
        </w:rPr>
        <w:t>рок трајања вакцине</w:t>
      </w:r>
      <w:r w:rsidR="003D5F95" w:rsidRPr="003D5F95">
        <w:rPr>
          <w:rFonts w:ascii="Arial" w:hAnsi="Arial" w:cs="Arial"/>
        </w:rPr>
        <w:t xml:space="preserve"> </w:t>
      </w:r>
      <w:r w:rsidR="003D5F95" w:rsidRPr="003D5F95">
        <w:rPr>
          <w:rFonts w:ascii="Arial" w:hAnsi="Arial" w:cs="Arial"/>
          <w:lang w:val="sr-Cyrl-CS"/>
        </w:rPr>
        <w:t>, који потенцијални понуђач треба да искаже у Обрасцу понуде.</w:t>
      </w:r>
    </w:p>
    <w:p w:rsidR="003D5F95" w:rsidRPr="003D5F95" w:rsidRDefault="003D5F95" w:rsidP="003D5F95">
      <w:pPr>
        <w:pStyle w:val="ListParagraph"/>
        <w:ind w:left="-142" w:right="-2"/>
        <w:jc w:val="both"/>
        <w:rPr>
          <w:rFonts w:ascii="Arial" w:hAnsi="Arial" w:cs="Arial"/>
          <w:lang w:val="sr-Cyrl-CS"/>
        </w:rPr>
      </w:pPr>
      <w:r w:rsidRPr="003D5F95">
        <w:rPr>
          <w:rFonts w:ascii="Arial" w:hAnsi="Arial" w:cs="Arial"/>
          <w:lang w:val="sr-Cyrl-CS"/>
        </w:rPr>
        <w:t xml:space="preserve">Молимо да наручилац </w:t>
      </w:r>
      <w:r w:rsidRPr="003D5F95">
        <w:rPr>
          <w:rFonts w:ascii="Arial" w:hAnsi="Arial" w:cs="Arial"/>
          <w:b/>
          <w:lang w:val="sr-Cyrl-CS"/>
        </w:rPr>
        <w:t>јасно дефинише  исказивање рока трајања вакцине</w:t>
      </w:r>
      <w:r w:rsidRPr="003D5F95">
        <w:rPr>
          <w:rFonts w:ascii="Arial" w:hAnsi="Arial" w:cs="Arial"/>
          <w:lang w:val="sr-Cyrl-CS"/>
        </w:rPr>
        <w:t xml:space="preserve">, јер је он недефинисан, у смислу да са формулацијом из конкурсне документације да је испорука сукцесивна у року од једногодишњег периода важења уговора за предметни тендер,  потенцијалном понуђачу је познато само да рок трајања вакцине почиње да тече од дана испоруке вакцине,а дан испоруке вакцине биће датум истека рока испоруке који понуђач означи у конкурсној докунментацији, рачунајући од захтева наручиоца, а </w:t>
      </w:r>
      <w:r w:rsidRPr="003D5F95">
        <w:rPr>
          <w:rFonts w:ascii="Arial" w:hAnsi="Arial" w:cs="Arial"/>
          <w:b/>
          <w:lang w:val="sr-Cyrl-CS"/>
        </w:rPr>
        <w:t>управо термин захтева наручиоца за испоруком је непознат за потенцијалног понуђача  у моменту припремања понуде.</w:t>
      </w:r>
      <w:r w:rsidRPr="003D5F95">
        <w:rPr>
          <w:rFonts w:ascii="Arial" w:hAnsi="Arial" w:cs="Arial"/>
          <w:lang w:val="sr-Cyrl-CS"/>
        </w:rPr>
        <w:t xml:space="preserve"> </w:t>
      </w:r>
    </w:p>
    <w:p w:rsidR="003D5F95" w:rsidRPr="003D5F95" w:rsidRDefault="003D5F95" w:rsidP="003D5F95">
      <w:pPr>
        <w:pStyle w:val="ListParagraph"/>
        <w:ind w:left="-142" w:right="-2"/>
        <w:jc w:val="both"/>
        <w:rPr>
          <w:rFonts w:ascii="Arial" w:hAnsi="Arial" w:cs="Arial"/>
          <w:lang w:val="sr-Cyrl-CS"/>
        </w:rPr>
      </w:pPr>
      <w:r w:rsidRPr="003D5F95">
        <w:rPr>
          <w:rFonts w:ascii="Arial" w:hAnsi="Arial" w:cs="Arial"/>
          <w:lang w:val="sr-Cyrl-CS"/>
        </w:rPr>
        <w:t>Такође, молимо да наручилац дефинише како да се искаже рок трајања вакцине тј. да ли у данима или месецима.</w:t>
      </w:r>
    </w:p>
    <w:p w:rsidR="003D5F95" w:rsidRPr="003D5F95" w:rsidRDefault="003D5F95" w:rsidP="003D5F95">
      <w:pPr>
        <w:pStyle w:val="ListParagraph"/>
        <w:ind w:left="-142" w:right="-2"/>
        <w:jc w:val="both"/>
        <w:rPr>
          <w:rFonts w:ascii="Arial" w:hAnsi="Arial" w:cs="Arial"/>
          <w:b/>
        </w:rPr>
      </w:pPr>
      <w:r w:rsidRPr="003D5F95">
        <w:rPr>
          <w:rFonts w:ascii="Arial" w:hAnsi="Arial" w:cs="Arial"/>
          <w:lang w:val="sr-Cyrl-CS"/>
        </w:rPr>
        <w:t>Напомињемо да овако недефинисан рок трајања вакцине у овој фази поступка јавне набавке онемогућава потенцијалног понуђача да  прецизно искаже рок трајања вакцине, а у каснијој фази поступка приликом оцене понуда и пондирања може довести до повреде права понуђача.</w:t>
      </w:r>
    </w:p>
    <w:p w:rsidR="00BA7B42" w:rsidRPr="003D5F95" w:rsidRDefault="00BA7B42" w:rsidP="003D5F95">
      <w:pPr>
        <w:spacing w:line="240" w:lineRule="auto"/>
        <w:ind w:left="-207" w:right="-2"/>
        <w:jc w:val="both"/>
        <w:rPr>
          <w:rFonts w:ascii="Arial" w:hAnsi="Arial" w:cs="Arial"/>
        </w:rPr>
      </w:pPr>
      <w:r w:rsidRPr="003D5F95">
        <w:rPr>
          <w:rFonts w:ascii="Arial" w:hAnsi="Arial" w:cs="Arial"/>
          <w:b/>
          <w:u w:val="single"/>
          <w:lang w:val="sr-Cyrl-CS" w:bidi="he-IL"/>
        </w:rPr>
        <w:t>Одговор:</w:t>
      </w:r>
      <w:r w:rsidRPr="003D5F95">
        <w:rPr>
          <w:rFonts w:ascii="Arial" w:hAnsi="Arial" w:cs="Arial"/>
          <w:lang w:val="sr-Cyrl-CS" w:bidi="he-IL"/>
        </w:rPr>
        <w:t xml:space="preserve"> Појашњење ће бити дато у </w:t>
      </w:r>
      <w:r w:rsidRPr="003D5F95">
        <w:rPr>
          <w:rFonts w:ascii="Arial" w:hAnsi="Arial" w:cs="Arial"/>
          <w:b/>
        </w:rPr>
        <w:t>I Измени конкурсне документације</w:t>
      </w:r>
      <w:r w:rsidRPr="003D5F95">
        <w:rPr>
          <w:rFonts w:ascii="Arial" w:hAnsi="Arial" w:cs="Arial"/>
        </w:rPr>
        <w:t>, која ће бити објављена на интернет страници Наручиоца и Порталу јавних набавки.</w:t>
      </w:r>
    </w:p>
    <w:p w:rsidR="003D5F95" w:rsidRPr="003D5F95" w:rsidRDefault="00BA7B42" w:rsidP="003D5F95">
      <w:pPr>
        <w:numPr>
          <w:ilvl w:val="0"/>
          <w:numId w:val="3"/>
        </w:numPr>
        <w:autoSpaceDE w:val="0"/>
        <w:autoSpaceDN w:val="0"/>
        <w:adjustRightInd w:val="0"/>
        <w:spacing w:after="0" w:line="240" w:lineRule="auto"/>
        <w:ind w:left="-142" w:right="-2" w:hanging="425"/>
        <w:jc w:val="both"/>
        <w:rPr>
          <w:rFonts w:ascii="Arial" w:hAnsi="Arial" w:cs="Arial"/>
        </w:rPr>
      </w:pPr>
      <w:r w:rsidRPr="003D5F95">
        <w:rPr>
          <w:rFonts w:ascii="Arial" w:hAnsi="Arial" w:cs="Arial"/>
          <w:b/>
          <w:u w:val="single"/>
          <w:lang w:val="sr-Cyrl-CS" w:bidi="he-IL"/>
        </w:rPr>
        <w:lastRenderedPageBreak/>
        <w:t>Питање:</w:t>
      </w:r>
      <w:r w:rsidRPr="003D5F95">
        <w:rPr>
          <w:rFonts w:ascii="Arial" w:hAnsi="Arial" w:cs="Arial"/>
          <w:b/>
          <w:lang w:val="sr-Cyrl-CS" w:bidi="he-IL"/>
        </w:rPr>
        <w:t xml:space="preserve"> </w:t>
      </w:r>
      <w:r w:rsidRPr="003D5F95">
        <w:rPr>
          <w:rFonts w:ascii="Arial" w:hAnsi="Arial" w:cs="Arial"/>
          <w:lang w:val="sr-Cyrl-CS" w:bidi="he-IL"/>
        </w:rPr>
        <w:t xml:space="preserve"> </w:t>
      </w:r>
      <w:r w:rsidR="003D5F95" w:rsidRPr="003D5F95">
        <w:rPr>
          <w:rFonts w:ascii="Arial" w:hAnsi="Arial" w:cs="Arial"/>
          <w:color w:val="000000"/>
        </w:rPr>
        <w:t xml:space="preserve">Молимо да наручилац </w:t>
      </w:r>
      <w:r w:rsidR="003D5F95" w:rsidRPr="003D5F95">
        <w:rPr>
          <w:rFonts w:ascii="Arial" w:hAnsi="Arial" w:cs="Arial"/>
          <w:b/>
          <w:color w:val="000000"/>
        </w:rPr>
        <w:t>изврши измену</w:t>
      </w:r>
      <w:r w:rsidR="003D5F95" w:rsidRPr="003D5F95">
        <w:rPr>
          <w:rFonts w:ascii="Arial" w:hAnsi="Arial" w:cs="Arial"/>
          <w:b/>
          <w:color w:val="000000"/>
          <w:lang w:val="sr-Cyrl-CS"/>
        </w:rPr>
        <w:t xml:space="preserve"> тачке 10. став 4</w:t>
      </w:r>
      <w:r w:rsidR="003D5F95" w:rsidRPr="003D5F95">
        <w:rPr>
          <w:rFonts w:ascii="Arial" w:hAnsi="Arial" w:cs="Arial"/>
          <w:b/>
          <w:color w:val="000000"/>
        </w:rPr>
        <w:t xml:space="preserve"> </w:t>
      </w:r>
      <w:r w:rsidR="003D5F95" w:rsidRPr="003D5F95">
        <w:rPr>
          <w:rFonts w:ascii="Arial" w:hAnsi="Arial" w:cs="Arial"/>
          <w:b/>
          <w:color w:val="000000"/>
          <w:lang w:val="sr-Cyrl-CS"/>
        </w:rPr>
        <w:t xml:space="preserve">Упутства којим се предвиђа да је цена фиксна, као и  </w:t>
      </w:r>
      <w:r w:rsidR="003D5F95" w:rsidRPr="003D5F95">
        <w:rPr>
          <w:rFonts w:ascii="Arial" w:hAnsi="Arial" w:cs="Arial"/>
          <w:b/>
          <w:color w:val="000000"/>
        </w:rPr>
        <w:t xml:space="preserve">члана 3. Модела уговора </w:t>
      </w:r>
      <w:r w:rsidR="003D5F95" w:rsidRPr="003D5F95">
        <w:rPr>
          <w:rFonts w:ascii="Arial" w:hAnsi="Arial" w:cs="Arial"/>
          <w:color w:val="000000"/>
        </w:rPr>
        <w:t>и то тако да уговорена цен</w:t>
      </w:r>
      <w:r w:rsidR="003D5F95" w:rsidRPr="003D5F95">
        <w:rPr>
          <w:rFonts w:ascii="Arial" w:hAnsi="Arial" w:cs="Arial"/>
          <w:color w:val="000000"/>
          <w:lang w:val="sr-Cyrl-CS"/>
        </w:rPr>
        <w:t>а мо</w:t>
      </w:r>
      <w:r w:rsidR="003D5F95" w:rsidRPr="003D5F95">
        <w:rPr>
          <w:rFonts w:ascii="Arial" w:hAnsi="Arial" w:cs="Arial"/>
          <w:color w:val="000000"/>
        </w:rPr>
        <w:t>же да се промени у случају измене Правилника о Листи лекова, тако што ће се уговорена</w:t>
      </w:r>
      <w:r w:rsidR="003D5F95" w:rsidRPr="003D5F95">
        <w:rPr>
          <w:rFonts w:ascii="Arial" w:hAnsi="Arial" w:cs="Arial"/>
          <w:color w:val="000000"/>
          <w:lang w:val="sr-Cyrl-CS"/>
        </w:rPr>
        <w:t xml:space="preserve"> це</w:t>
      </w:r>
      <w:r w:rsidR="003D5F95" w:rsidRPr="003D5F95">
        <w:rPr>
          <w:rFonts w:ascii="Arial" w:hAnsi="Arial" w:cs="Arial"/>
          <w:color w:val="000000"/>
        </w:rPr>
        <w:t xml:space="preserve">на ускладити са ценом из новог Правилника о Листи лекова, независно да ли је дошло </w:t>
      </w:r>
      <w:r w:rsidR="003D5F95" w:rsidRPr="003D5F95">
        <w:rPr>
          <w:rFonts w:ascii="Arial" w:hAnsi="Arial" w:cs="Arial"/>
          <w:color w:val="000000"/>
          <w:lang w:val="sr-Cyrl-CS"/>
        </w:rPr>
        <w:t>п</w:t>
      </w:r>
      <w:r w:rsidR="003D5F95" w:rsidRPr="003D5F95">
        <w:rPr>
          <w:rFonts w:ascii="Arial" w:hAnsi="Arial" w:cs="Arial"/>
          <w:color w:val="000000"/>
        </w:rPr>
        <w:t xml:space="preserve">овећања или смањења прописане цене у односу за уговорену.  </w:t>
      </w:r>
    </w:p>
    <w:p w:rsidR="003D5F95" w:rsidRDefault="003D5F95" w:rsidP="003D5F95">
      <w:pPr>
        <w:autoSpaceDE w:val="0"/>
        <w:autoSpaceDN w:val="0"/>
        <w:adjustRightInd w:val="0"/>
        <w:spacing w:after="0" w:line="240" w:lineRule="auto"/>
        <w:ind w:left="-142" w:right="-2"/>
        <w:jc w:val="both"/>
        <w:rPr>
          <w:rFonts w:ascii="Arial" w:hAnsi="Arial" w:cs="Arial"/>
          <w:b/>
          <w:u w:val="single"/>
          <w:lang w:val="sr-Cyrl-CS" w:bidi="he-IL"/>
        </w:rPr>
      </w:pPr>
    </w:p>
    <w:p w:rsidR="00BA7B42" w:rsidRDefault="00BA7B42" w:rsidP="003D5F95">
      <w:pPr>
        <w:autoSpaceDE w:val="0"/>
        <w:autoSpaceDN w:val="0"/>
        <w:adjustRightInd w:val="0"/>
        <w:spacing w:after="0" w:line="240" w:lineRule="auto"/>
        <w:ind w:left="-142" w:right="-2"/>
        <w:jc w:val="both"/>
        <w:rPr>
          <w:rFonts w:ascii="Arial" w:hAnsi="Arial" w:cs="Arial"/>
        </w:rPr>
      </w:pPr>
      <w:r w:rsidRPr="003D5F95">
        <w:rPr>
          <w:rFonts w:ascii="Arial" w:hAnsi="Arial" w:cs="Arial"/>
          <w:b/>
          <w:u w:val="single"/>
          <w:lang w:val="sr-Cyrl-CS" w:bidi="he-IL"/>
        </w:rPr>
        <w:t>Одговор:</w:t>
      </w:r>
      <w:r w:rsidRPr="003D5F95">
        <w:rPr>
          <w:rFonts w:ascii="Arial" w:hAnsi="Arial" w:cs="Arial"/>
          <w:lang w:val="sr-Cyrl-CS" w:bidi="he-IL"/>
        </w:rPr>
        <w:t xml:space="preserve"> Исправка </w:t>
      </w:r>
      <w:r w:rsidR="003D5F95" w:rsidRPr="003D5F95">
        <w:rPr>
          <w:rFonts w:ascii="Arial" w:hAnsi="Arial" w:cs="Arial"/>
          <w:lang w:bidi="he-IL"/>
        </w:rPr>
        <w:t>ће бити</w:t>
      </w:r>
      <w:r w:rsidRPr="003D5F95">
        <w:rPr>
          <w:rFonts w:ascii="Arial" w:hAnsi="Arial" w:cs="Arial"/>
          <w:lang w:val="sr-Cyrl-CS" w:bidi="he-IL"/>
        </w:rPr>
        <w:t xml:space="preserve"> дата у </w:t>
      </w:r>
      <w:r w:rsidRPr="003D5F95">
        <w:rPr>
          <w:rFonts w:ascii="Arial" w:hAnsi="Arial" w:cs="Arial"/>
          <w:b/>
        </w:rPr>
        <w:t>I Измени конкурсне документације</w:t>
      </w:r>
      <w:r w:rsidRPr="003D5F95">
        <w:rPr>
          <w:rFonts w:ascii="Arial" w:hAnsi="Arial" w:cs="Arial"/>
        </w:rPr>
        <w:t>, која ће бити објављена на интернет страници Наручиоца и Порталу јавних набавки.</w:t>
      </w:r>
    </w:p>
    <w:p w:rsidR="003D5F95" w:rsidRPr="003D5F95" w:rsidRDefault="003D5F95" w:rsidP="003D5F95">
      <w:pPr>
        <w:autoSpaceDE w:val="0"/>
        <w:autoSpaceDN w:val="0"/>
        <w:adjustRightInd w:val="0"/>
        <w:spacing w:after="0" w:line="240" w:lineRule="auto"/>
        <w:ind w:left="-142" w:right="-2"/>
        <w:jc w:val="both"/>
        <w:rPr>
          <w:rFonts w:ascii="Arial" w:hAnsi="Arial" w:cs="Arial"/>
        </w:rPr>
      </w:pPr>
    </w:p>
    <w:p w:rsidR="00BA7B42" w:rsidRPr="003D5F95" w:rsidRDefault="00BA7B42" w:rsidP="00E82D74">
      <w:pPr>
        <w:pStyle w:val="ListParagraph"/>
        <w:numPr>
          <w:ilvl w:val="0"/>
          <w:numId w:val="3"/>
        </w:numPr>
        <w:tabs>
          <w:tab w:val="left" w:pos="-142"/>
          <w:tab w:val="left" w:pos="142"/>
        </w:tabs>
        <w:spacing w:after="0" w:line="240" w:lineRule="auto"/>
        <w:ind w:left="-142" w:right="-2" w:hanging="425"/>
        <w:jc w:val="both"/>
        <w:rPr>
          <w:rFonts w:ascii="Arial" w:hAnsi="Arial" w:cs="Arial"/>
        </w:rPr>
      </w:pPr>
      <w:r w:rsidRPr="003D5F95">
        <w:rPr>
          <w:rFonts w:ascii="Arial" w:hAnsi="Arial" w:cs="Arial"/>
          <w:b/>
          <w:u w:val="single"/>
          <w:lang w:val="sr-Cyrl-CS" w:bidi="he-IL"/>
        </w:rPr>
        <w:t>Питање:</w:t>
      </w:r>
      <w:r w:rsidRPr="003D5F95">
        <w:rPr>
          <w:rFonts w:ascii="Arial" w:hAnsi="Arial" w:cs="Arial"/>
          <w:b/>
          <w:lang w:val="sr-Cyrl-CS" w:bidi="he-IL"/>
        </w:rPr>
        <w:t xml:space="preserve"> </w:t>
      </w:r>
      <w:r w:rsidRPr="003D5F95">
        <w:rPr>
          <w:rFonts w:ascii="Arial" w:hAnsi="Arial" w:cs="Arial"/>
          <w:lang w:val="sr-Cyrl-CS" w:bidi="he-IL"/>
        </w:rPr>
        <w:t xml:space="preserve"> </w:t>
      </w:r>
      <w:r w:rsidR="003D5F95" w:rsidRPr="003D5F95">
        <w:rPr>
          <w:rFonts w:ascii="Arial" w:hAnsi="Arial" w:cs="Arial"/>
          <w:lang w:val="sr-Cyrl-CS"/>
        </w:rPr>
        <w:t xml:space="preserve">Молимо да наручилац  изврши измену из спецификације поглавља </w:t>
      </w:r>
      <w:r w:rsidR="003D5F95" w:rsidRPr="003D5F95">
        <w:rPr>
          <w:rFonts w:ascii="Arial" w:hAnsi="Arial" w:cs="Arial"/>
        </w:rPr>
        <w:t>III</w:t>
      </w:r>
      <w:r w:rsidR="003D5F95" w:rsidRPr="003D5F95">
        <w:rPr>
          <w:rFonts w:ascii="Arial" w:hAnsi="Arial" w:cs="Arial"/>
          <w:lang w:val="sr-Cyrl-CS"/>
        </w:rPr>
        <w:t xml:space="preserve"> за  партију </w:t>
      </w:r>
      <w:r w:rsidR="003D5F95" w:rsidRPr="003D5F95">
        <w:rPr>
          <w:rFonts w:ascii="Arial" w:hAnsi="Arial" w:cs="Arial"/>
        </w:rPr>
        <w:t>XI-</w:t>
      </w:r>
      <w:r w:rsidR="003D5F95" w:rsidRPr="003D5F95">
        <w:rPr>
          <w:rFonts w:ascii="Arial" w:hAnsi="Arial" w:cs="Arial"/>
          <w:lang w:val="sr-Cyrl-CS"/>
        </w:rPr>
        <w:t xml:space="preserve"> Вакцина против пнеумококних болести, и то тако да се из описа вакцине искључи део </w:t>
      </w:r>
      <w:r w:rsidR="003D5F95" w:rsidRPr="003D5F95">
        <w:rPr>
          <w:rFonts w:ascii="Arial" w:hAnsi="Arial" w:cs="Arial"/>
        </w:rPr>
        <w:t>“</w:t>
      </w:r>
      <w:r w:rsidR="003D5F95" w:rsidRPr="003D5F95">
        <w:rPr>
          <w:rFonts w:ascii="Arial" w:hAnsi="Arial" w:cs="Arial"/>
          <w:lang w:val="sr-Cyrl-CS"/>
        </w:rPr>
        <w:t>са 13 серотипова</w:t>
      </w:r>
      <w:r w:rsidR="003D5F95" w:rsidRPr="003D5F95">
        <w:rPr>
          <w:rFonts w:ascii="Arial" w:hAnsi="Arial" w:cs="Arial"/>
        </w:rPr>
        <w:t xml:space="preserve">” </w:t>
      </w:r>
      <w:r w:rsidR="003D5F95" w:rsidRPr="003D5F95">
        <w:rPr>
          <w:rFonts w:ascii="Arial" w:hAnsi="Arial" w:cs="Arial"/>
          <w:lang w:val="sr-Cyrl-CS"/>
        </w:rPr>
        <w:t>и омогући понуда предметне вакцине и са 10 серотипова, из разлога што клиничке студије показију исту покривеност против инванзивних обољења обе доступне пнеумококне вакцине.</w:t>
      </w:r>
    </w:p>
    <w:p w:rsidR="003D5F95" w:rsidRPr="003D5F95" w:rsidRDefault="003D5F95" w:rsidP="003D5F95">
      <w:pPr>
        <w:pStyle w:val="ListParagraph"/>
        <w:spacing w:after="0" w:line="240" w:lineRule="auto"/>
        <w:ind w:left="0" w:right="-2"/>
        <w:jc w:val="both"/>
        <w:rPr>
          <w:rFonts w:ascii="Arial" w:hAnsi="Arial" w:cs="Arial"/>
        </w:rPr>
      </w:pPr>
    </w:p>
    <w:p w:rsidR="00BA7B42" w:rsidRPr="003D5F95" w:rsidRDefault="00BA7B42" w:rsidP="003D5F95">
      <w:pPr>
        <w:spacing w:line="240" w:lineRule="auto"/>
        <w:ind w:left="-207" w:right="-2"/>
        <w:jc w:val="both"/>
        <w:rPr>
          <w:rFonts w:ascii="Arial" w:hAnsi="Arial" w:cs="Arial"/>
        </w:rPr>
      </w:pPr>
      <w:r w:rsidRPr="003D5F95">
        <w:rPr>
          <w:rFonts w:ascii="Arial" w:hAnsi="Arial" w:cs="Arial"/>
          <w:b/>
          <w:u w:val="single"/>
          <w:lang w:val="sr-Cyrl-CS" w:bidi="he-IL"/>
        </w:rPr>
        <w:t>Одговор:</w:t>
      </w:r>
      <w:r w:rsidRPr="003D5F95">
        <w:rPr>
          <w:rFonts w:ascii="Arial" w:hAnsi="Arial" w:cs="Arial"/>
          <w:lang w:val="sr-Cyrl-CS" w:bidi="he-IL"/>
        </w:rPr>
        <w:t xml:space="preserve"> </w:t>
      </w:r>
      <w:r w:rsidR="003D5F95">
        <w:rPr>
          <w:rFonts w:ascii="Arial" w:hAnsi="Arial" w:cs="Arial"/>
          <w:lang w:val="sr-Cyrl-CS" w:bidi="he-IL"/>
        </w:rPr>
        <w:t>Наручилац неће мењати спецификацију из одељка 3 Конкурсне документације, за партију 11, а у погледу вакцина</w:t>
      </w:r>
      <w:r w:rsidR="003D5F95" w:rsidRPr="003D5F95">
        <w:rPr>
          <w:rFonts w:ascii="Arial" w:hAnsi="Arial" w:cs="Arial"/>
          <w:lang w:val="sr-Cyrl-CS"/>
        </w:rPr>
        <w:t xml:space="preserve"> против пнеумококних болести</w:t>
      </w:r>
      <w:r w:rsidR="003D5F95">
        <w:rPr>
          <w:rFonts w:ascii="Arial" w:hAnsi="Arial" w:cs="Arial"/>
          <w:lang w:val="sr-Cyrl-CS"/>
        </w:rPr>
        <w:t>, с обзиром да предметни опис одговара његовим потребама</w:t>
      </w:r>
      <w:r w:rsidRPr="003D5F95">
        <w:rPr>
          <w:rFonts w:ascii="Arial" w:hAnsi="Arial" w:cs="Arial"/>
        </w:rPr>
        <w:t>.</w:t>
      </w:r>
    </w:p>
    <w:p w:rsidR="00BA7B42" w:rsidRPr="003D5F95" w:rsidRDefault="00BA7B42" w:rsidP="00BA7B42">
      <w:pPr>
        <w:tabs>
          <w:tab w:val="left" w:pos="5715"/>
        </w:tabs>
        <w:spacing w:after="0" w:line="240" w:lineRule="auto"/>
        <w:ind w:firstLine="540"/>
        <w:jc w:val="center"/>
        <w:rPr>
          <w:rFonts w:ascii="Arial" w:hAnsi="Arial" w:cs="Arial"/>
        </w:rPr>
      </w:pPr>
    </w:p>
    <w:p w:rsidR="00BA7B42" w:rsidRPr="003D5F95" w:rsidRDefault="00BA7B42" w:rsidP="00BA7B42">
      <w:pPr>
        <w:tabs>
          <w:tab w:val="left" w:pos="5715"/>
        </w:tabs>
        <w:spacing w:after="0" w:line="240" w:lineRule="auto"/>
        <w:ind w:firstLine="540"/>
        <w:jc w:val="both"/>
        <w:rPr>
          <w:rFonts w:ascii="Arial" w:hAnsi="Arial" w:cs="Arial"/>
        </w:rPr>
      </w:pPr>
    </w:p>
    <w:p w:rsidR="00BA7B42" w:rsidRPr="003D5F95" w:rsidRDefault="004A4750" w:rsidP="00BA7B42">
      <w:pPr>
        <w:spacing w:after="0" w:line="240" w:lineRule="auto"/>
        <w:ind w:firstLine="540"/>
        <w:rPr>
          <w:rFonts w:ascii="Arial" w:hAnsi="Arial" w:cs="Arial"/>
          <w:b/>
          <w:lang w:val="sr-Cyrl-CS"/>
        </w:rPr>
      </w:pPr>
      <w:r>
        <w:rPr>
          <w:rFonts w:ascii="Arial" w:hAnsi="Arial" w:cs="Arial"/>
          <w:lang w:val="sr-Cyrl-CS"/>
        </w:rPr>
        <w:t xml:space="preserve">Београд, 06.04.2015     </w:t>
      </w:r>
      <w:r w:rsidR="00BA7B42" w:rsidRPr="003D5F95">
        <w:rPr>
          <w:rFonts w:ascii="Arial" w:hAnsi="Arial" w:cs="Arial"/>
          <w:lang w:val="sr-Cyrl-CS"/>
        </w:rPr>
        <w:t xml:space="preserve"> </w:t>
      </w:r>
      <w:r w:rsidR="003D5F95">
        <w:rPr>
          <w:rFonts w:ascii="Arial" w:hAnsi="Arial" w:cs="Arial"/>
          <w:lang w:val="sr-Cyrl-CS"/>
        </w:rPr>
        <w:t xml:space="preserve">               </w:t>
      </w:r>
      <w:r w:rsidR="00BA7B42" w:rsidRPr="003D5F95">
        <w:rPr>
          <w:rFonts w:ascii="Arial" w:hAnsi="Arial" w:cs="Arial"/>
          <w:lang w:val="sr-Cyrl-CS"/>
        </w:rPr>
        <w:t xml:space="preserve"> </w:t>
      </w:r>
      <w:r w:rsidR="00BA7B42" w:rsidRPr="003D5F95">
        <w:rPr>
          <w:rFonts w:ascii="Arial" w:hAnsi="Arial" w:cs="Arial"/>
          <w:b/>
          <w:lang w:val="sr-Cyrl-CS"/>
        </w:rPr>
        <w:t xml:space="preserve">КОМИСИЈА ЗА ЈАВНУ НАБАВКУ </w:t>
      </w:r>
      <w:r w:rsidR="003D5F95" w:rsidRPr="003D5F95">
        <w:rPr>
          <w:rFonts w:ascii="Arial" w:hAnsi="Arial" w:cs="Arial"/>
          <w:b/>
          <w:lang w:val="sr-Cyrl-CS"/>
        </w:rPr>
        <w:t xml:space="preserve">ВНР </w:t>
      </w:r>
      <w:r w:rsidR="003D5F95" w:rsidRPr="003D5F95">
        <w:rPr>
          <w:rFonts w:ascii="Arial" w:hAnsi="Arial" w:cs="Arial"/>
          <w:b/>
        </w:rPr>
        <w:t>04-I-39/15</w:t>
      </w: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Default="00A90901" w:rsidP="00063B69">
      <w:pPr>
        <w:spacing w:after="0" w:line="240" w:lineRule="auto"/>
        <w:ind w:firstLine="540"/>
        <w:rPr>
          <w:rFonts w:ascii="Arial" w:hAnsi="Arial" w:cs="Arial"/>
        </w:rPr>
      </w:pPr>
    </w:p>
    <w:p w:rsidR="00A90901" w:rsidRPr="00A90901" w:rsidRDefault="00A90901" w:rsidP="00063B69">
      <w:pPr>
        <w:spacing w:after="0" w:line="240" w:lineRule="auto"/>
        <w:ind w:firstLine="540"/>
        <w:rPr>
          <w:rFonts w:ascii="Arial" w:hAnsi="Arial" w:cs="Arial"/>
        </w:rPr>
      </w:pPr>
    </w:p>
    <w:p w:rsidR="00A130DB" w:rsidRPr="00A90901" w:rsidRDefault="00A130DB" w:rsidP="00A130DB">
      <w:pPr>
        <w:spacing w:after="0" w:line="240" w:lineRule="auto"/>
        <w:ind w:firstLine="540"/>
        <w:rPr>
          <w:rFonts w:ascii="Arial" w:hAnsi="Arial" w:cs="Arial"/>
          <w:lang w:val="sr-Cyrl-CS"/>
        </w:rPr>
      </w:pPr>
    </w:p>
    <w:p w:rsidR="004C71E2" w:rsidRPr="00A90901" w:rsidRDefault="004C71E2" w:rsidP="00BA7B42">
      <w:pPr>
        <w:spacing w:after="0" w:line="240" w:lineRule="auto"/>
        <w:rPr>
          <w:rFonts w:ascii="Arial" w:hAnsi="Arial" w:cs="Arial"/>
          <w:lang w:val="sr-Cyrl-CS"/>
        </w:rPr>
      </w:pPr>
      <w:r w:rsidRPr="00A90901">
        <w:rPr>
          <w:rFonts w:ascii="Arial" w:hAnsi="Arial" w:cs="Arial"/>
          <w:lang w:val="sr-Cyrl-CS"/>
        </w:rPr>
        <w:t xml:space="preserve">          </w:t>
      </w:r>
    </w:p>
    <w:p w:rsidR="00533064" w:rsidRPr="00A90901" w:rsidRDefault="00533064" w:rsidP="004C71E2">
      <w:pPr>
        <w:spacing w:after="0" w:line="240" w:lineRule="auto"/>
        <w:rPr>
          <w:rFonts w:ascii="Arial" w:hAnsi="Arial" w:cs="Arial"/>
          <w:lang w:val="sr-Cyrl-CS"/>
        </w:rPr>
      </w:pPr>
    </w:p>
    <w:sectPr w:rsidR="00533064" w:rsidRPr="00A90901" w:rsidSect="005A40D8">
      <w:headerReference w:type="even" r:id="rId8"/>
      <w:headerReference w:type="default" r:id="rId9"/>
      <w:footerReference w:type="even" r:id="rId10"/>
      <w:footerReference w:type="default" r:id="rId11"/>
      <w:headerReference w:type="first" r:id="rId12"/>
      <w:footerReference w:type="first" r:id="rId13"/>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094" w:rsidRDefault="00791094">
      <w:r>
        <w:separator/>
      </w:r>
    </w:p>
  </w:endnote>
  <w:endnote w:type="continuationSeparator" w:id="0">
    <w:p w:rsidR="00791094" w:rsidRDefault="00791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3E75ED"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3E75ED"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4A4750">
      <w:rPr>
        <w:rStyle w:val="PageNumber"/>
        <w:noProof/>
      </w:rPr>
      <w:t>2</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r w:rsidR="008F4633" w:rsidRPr="00C444F2" w:rsidTr="00863A10">
      <w:trPr>
        <w:jc w:val="center"/>
      </w:trPr>
      <w:tc>
        <w:tcPr>
          <w:tcW w:w="2132" w:type="dxa"/>
          <w:shd w:val="clear" w:color="auto" w:fill="auto"/>
        </w:tcPr>
        <w:p w:rsidR="008F4633" w:rsidRPr="004E4F2A" w:rsidRDefault="00F325FF" w:rsidP="00863A10">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914400" cy="914400"/>
                <wp:effectExtent l="19050" t="0" r="0" b="0"/>
                <wp:docPr id="1" name="Picture 1" descr="Description: 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shd w:val="clear" w:color="auto" w:fill="auto"/>
        </w:tcPr>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14001:2004</w:t>
          </w:r>
        </w:p>
        <w:p w:rsidR="008F4633" w:rsidRPr="004E4F2A" w:rsidRDefault="008F4633" w:rsidP="00863A10">
          <w:pPr>
            <w:spacing w:after="0" w:line="240" w:lineRule="auto"/>
            <w:jc w:val="center"/>
            <w:rPr>
              <w:rFonts w:ascii="Times New Roman" w:eastAsia="Times New Roman" w:hAnsi="Times New Roman"/>
              <w:sz w:val="14"/>
              <w:szCs w:val="14"/>
            </w:rPr>
          </w:pPr>
          <w:r w:rsidRPr="004E4F2A">
            <w:rPr>
              <w:rFonts w:ascii="Times New Roman" w:eastAsia="Times New Roman" w:hAnsi="Times New Roman"/>
              <w:b/>
              <w:sz w:val="14"/>
              <w:szCs w:val="14"/>
              <w:lang w:val="sr-Cyrl-CS"/>
            </w:rPr>
            <w:t>Рег</w:t>
          </w:r>
          <w:r w:rsidRPr="004E4F2A">
            <w:rPr>
              <w:rFonts w:ascii="Times New Roman" w:eastAsia="Times New Roman" w:hAnsi="Times New Roman"/>
              <w:b/>
              <w:sz w:val="14"/>
              <w:szCs w:val="14"/>
            </w:rPr>
            <w:t>.</w:t>
          </w:r>
          <w:r w:rsidRPr="004E4F2A">
            <w:rPr>
              <w:rFonts w:ascii="Times New Roman" w:eastAsia="Times New Roman" w:hAnsi="Times New Roman"/>
              <w:b/>
              <w:sz w:val="14"/>
              <w:szCs w:val="14"/>
              <w:lang w:val="sr-Cyrl-CS"/>
            </w:rPr>
            <w:t>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12 104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 xml:space="preserve">Важи до </w:t>
          </w:r>
          <w:r w:rsidRPr="004E4F2A">
            <w:rPr>
              <w:rFonts w:ascii="Times New Roman" w:eastAsia="Times New Roman" w:hAnsi="Times New Roman"/>
              <w:sz w:val="14"/>
              <w:szCs w:val="14"/>
              <w:lang w:val="sr-Cyrl-CS"/>
            </w:rPr>
            <w:t>14.0</w:t>
          </w:r>
          <w:r w:rsidRPr="004E4F2A">
            <w:rPr>
              <w:rFonts w:ascii="Times New Roman" w:eastAsia="Times New Roman" w:hAnsi="Times New Roman"/>
              <w:sz w:val="14"/>
              <w:szCs w:val="14"/>
            </w:rPr>
            <w:t>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rPr>
          </w:pPr>
        </w:p>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9001:2008</w:t>
          </w:r>
        </w:p>
        <w:p w:rsidR="008F4633" w:rsidRPr="004E4F2A" w:rsidRDefault="008F4633" w:rsidP="00863A10">
          <w:pPr>
            <w:spacing w:after="0" w:line="240" w:lineRule="auto"/>
            <w:jc w:val="center"/>
            <w:rPr>
              <w:rFonts w:ascii="Times New Roman" w:eastAsia="Times New Roman" w:hAnsi="Times New Roman"/>
              <w:sz w:val="14"/>
              <w:szCs w:val="14"/>
              <w:lang w:val="sr-Cyrl-CS"/>
            </w:rPr>
          </w:pPr>
          <w:r w:rsidRPr="004E4F2A">
            <w:rPr>
              <w:rFonts w:ascii="Times New Roman" w:eastAsia="Times New Roman" w:hAnsi="Times New Roman"/>
              <w:b/>
              <w:sz w:val="14"/>
              <w:szCs w:val="14"/>
              <w:lang w:val="sr-Cyrl-CS"/>
            </w:rPr>
            <w:t>Рег.бр.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12 100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14.09.20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lang w:val="sr-Cyrl-CS"/>
            </w:rPr>
          </w:pPr>
        </w:p>
        <w:p w:rsidR="008F4633" w:rsidRPr="004E4F2A" w:rsidRDefault="008F4633" w:rsidP="00863A10">
          <w:pPr>
            <w:spacing w:after="0" w:line="240" w:lineRule="auto"/>
            <w:jc w:val="center"/>
            <w:rPr>
              <w:rFonts w:ascii="Times New Roman" w:eastAsia="Times New Roman" w:hAnsi="Times New Roman"/>
              <w:b/>
              <w:sz w:val="14"/>
              <w:szCs w:val="14"/>
              <w:lang w:val="sr-Cyrl-CS"/>
            </w:rPr>
          </w:pPr>
          <w:r w:rsidRPr="004E4F2A">
            <w:rPr>
              <w:rFonts w:ascii="Times New Roman" w:eastAsia="Times New Roman" w:hAnsi="Times New Roman"/>
              <w:b/>
              <w:sz w:val="14"/>
              <w:szCs w:val="14"/>
            </w:rPr>
            <w:t xml:space="preserve">ISO </w:t>
          </w:r>
          <w:r w:rsidRPr="004E4F2A">
            <w:rPr>
              <w:rFonts w:ascii="Times New Roman" w:eastAsia="Times New Roman" w:hAnsi="Times New Roman"/>
              <w:b/>
              <w:sz w:val="14"/>
              <w:szCs w:val="14"/>
              <w:lang w:val="sr-Cyrl-CS"/>
            </w:rPr>
            <w:t>17025</w:t>
          </w:r>
          <w:r w:rsidRPr="004E4F2A">
            <w:rPr>
              <w:rFonts w:ascii="Times New Roman" w:eastAsia="Times New Roman" w:hAnsi="Times New Roman"/>
              <w:b/>
              <w:sz w:val="14"/>
              <w:szCs w:val="14"/>
            </w:rPr>
            <w:t>:200</w:t>
          </w:r>
          <w:r w:rsidRPr="004E4F2A">
            <w:rPr>
              <w:rFonts w:ascii="Times New Roman" w:eastAsia="Times New Roman" w:hAnsi="Times New Roman"/>
              <w:b/>
              <w:sz w:val="14"/>
              <w:szCs w:val="14"/>
              <w:lang w:val="sr-Cyrl-CS"/>
            </w:rPr>
            <w:t>6</w:t>
          </w:r>
        </w:p>
        <w:p w:rsidR="008F4633" w:rsidRPr="004E4F2A" w:rsidRDefault="008F4633" w:rsidP="00863A10">
          <w:pPr>
            <w:spacing w:after="0" w:line="240" w:lineRule="auto"/>
            <w:jc w:val="center"/>
            <w:rPr>
              <w:rFonts w:ascii="Times New Roman" w:eastAsia="Times New Roman" w:hAnsi="Times New Roman"/>
              <w:lang w:val="sr-Cyrl-CS"/>
            </w:rPr>
          </w:pPr>
          <w:r w:rsidRPr="004E4F2A">
            <w:rPr>
              <w:rFonts w:ascii="Times New Roman" w:eastAsia="Times New Roman" w:hAnsi="Times New Roman"/>
              <w:b/>
              <w:sz w:val="14"/>
              <w:szCs w:val="14"/>
              <w:lang w:val="sr-Cyrl-CS"/>
            </w:rPr>
            <w:t xml:space="preserve">Акр.бр. </w:t>
          </w:r>
          <w:r w:rsidRPr="004E4F2A">
            <w:rPr>
              <w:rFonts w:ascii="Times New Roman" w:eastAsia="Times New Roman" w:hAnsi="Times New Roman"/>
              <w:sz w:val="14"/>
              <w:szCs w:val="14"/>
              <w:lang w:val="sr-Cyrl-CS"/>
            </w:rPr>
            <w:t>01-036</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w:t>
          </w:r>
          <w:r w:rsidRPr="004E4F2A">
            <w:rPr>
              <w:rFonts w:ascii="Times New Roman" w:eastAsia="Times New Roman" w:hAnsi="Times New Roman"/>
              <w:sz w:val="14"/>
              <w:szCs w:val="14"/>
              <w:lang w:val="sr-Cyrl-CS"/>
            </w:rPr>
            <w:t>1</w:t>
          </w:r>
          <w:r w:rsidRPr="004E4F2A">
            <w:rPr>
              <w:rFonts w:ascii="Times New Roman" w:eastAsia="Times New Roman" w:hAnsi="Times New Roman"/>
              <w:sz w:val="14"/>
              <w:szCs w:val="14"/>
            </w:rPr>
            <w:t>.0</w:t>
          </w:r>
          <w:r w:rsidRPr="004E4F2A">
            <w:rPr>
              <w:rFonts w:ascii="Times New Roman" w:eastAsia="Times New Roman" w:hAnsi="Times New Roman"/>
              <w:sz w:val="14"/>
              <w:szCs w:val="14"/>
              <w:lang w:val="sr-Cyrl-CS"/>
            </w:rPr>
            <w:t>2</w:t>
          </w:r>
          <w:r w:rsidRPr="004E4F2A">
            <w:rPr>
              <w:rFonts w:ascii="Times New Roman" w:eastAsia="Times New Roman" w:hAnsi="Times New Roman"/>
              <w:sz w:val="14"/>
              <w:szCs w:val="14"/>
            </w:rPr>
            <w:t>.2016.</w:t>
          </w:r>
        </w:p>
      </w:tc>
      <w:tc>
        <w:tcPr>
          <w:tcW w:w="2133" w:type="dxa"/>
          <w:shd w:val="clear" w:color="auto" w:fill="auto"/>
        </w:tcPr>
        <w:p w:rsidR="008F4633" w:rsidRPr="004E4F2A" w:rsidRDefault="00F325FF" w:rsidP="00863A10">
          <w:pPr>
            <w:spacing w:after="0" w:line="240" w:lineRule="auto"/>
            <w:jc w:val="right"/>
            <w:rPr>
              <w:rFonts w:ascii="Times New Roman" w:eastAsia="Times New Roman" w:hAnsi="Times New Roman"/>
            </w:rPr>
          </w:pPr>
          <w:r>
            <w:rPr>
              <w:rFonts w:ascii="Times New Roman" w:eastAsia="Times New Roman" w:hAnsi="Times New Roman"/>
              <w:noProof/>
            </w:rPr>
            <w:drawing>
              <wp:inline distT="0" distB="0" distL="0" distR="0">
                <wp:extent cx="695325" cy="914400"/>
                <wp:effectExtent l="19050" t="0" r="9525" b="0"/>
                <wp:docPr id="2" name="Picture 2" descr="Description: 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znak Akreditacionog tela ATS"/>
                        <pic:cNvPicPr>
                          <a:picLocks noChangeAspect="1" noChangeArrowheads="1"/>
                        </pic:cNvPicPr>
                      </pic:nvPicPr>
                      <pic:blipFill>
                        <a:blip r:embed="rId2"/>
                        <a:srcRect/>
                        <a:stretch>
                          <a:fillRect/>
                        </a:stretch>
                      </pic:blipFill>
                      <pic:spPr bwMode="auto">
                        <a:xfrm>
                          <a:off x="0" y="0"/>
                          <a:ext cx="695325" cy="914400"/>
                        </a:xfrm>
                        <a:prstGeom prst="rect">
                          <a:avLst/>
                        </a:prstGeom>
                        <a:noFill/>
                        <a:ln w="9525">
                          <a:noFill/>
                          <a:miter lim="800000"/>
                          <a:headEnd/>
                          <a:tailEnd/>
                        </a:ln>
                      </pic:spPr>
                    </pic:pic>
                  </a:graphicData>
                </a:graphic>
              </wp:inline>
            </w:drawing>
          </w:r>
        </w:p>
      </w:tc>
    </w:tr>
  </w:tbl>
  <w:p w:rsidR="00390CBF" w:rsidRDefault="00390CBF" w:rsidP="00AC401F">
    <w:pPr>
      <w:pStyle w:val="Footer"/>
      <w:spacing w:after="0" w:line="240" w:lineRule="auto"/>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094" w:rsidRDefault="00791094">
      <w:r>
        <w:separator/>
      </w:r>
    </w:p>
  </w:footnote>
  <w:footnote w:type="continuationSeparator" w:id="0">
    <w:p w:rsidR="00791094" w:rsidRDefault="00791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434DE"/>
    <w:multiLevelType w:val="hybridMultilevel"/>
    <w:tmpl w:val="DF86B9FA"/>
    <w:lvl w:ilvl="0" w:tplc="01A0CF08">
      <w:start w:val="1"/>
      <w:numFmt w:val="decimal"/>
      <w:lvlText w:val="%1."/>
      <w:lvlJc w:val="left"/>
      <w:pPr>
        <w:ind w:left="-207" w:hanging="360"/>
      </w:pPr>
      <w:rPr>
        <w:rFonts w:hint="default"/>
        <w:b/>
        <w:u w:val="single"/>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6E7E2AF6"/>
    <w:multiLevelType w:val="multilevel"/>
    <w:tmpl w:val="1E447C38"/>
    <w:lvl w:ilvl="0">
      <w:start w:val="1"/>
      <w:numFmt w:val="decimal"/>
      <w:lvlText w:val="%1."/>
      <w:lvlJc w:val="left"/>
      <w:pPr>
        <w:ind w:left="360" w:hanging="360"/>
      </w:pPr>
      <w:rPr>
        <w:rFonts w:ascii="Arial" w:eastAsia="Calibri" w:hAnsi="Arial" w:cs="Arial"/>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9218"/>
  </w:hdrShapeDefaults>
  <w:footnotePr>
    <w:footnote w:id="-1"/>
    <w:footnote w:id="0"/>
  </w:footnotePr>
  <w:endnotePr>
    <w:endnote w:id="-1"/>
    <w:endnote w:id="0"/>
  </w:endnotePr>
  <w:compat/>
  <w:rsids>
    <w:rsidRoot w:val="00D65526"/>
    <w:rsid w:val="00010427"/>
    <w:rsid w:val="00063B69"/>
    <w:rsid w:val="000A3BDF"/>
    <w:rsid w:val="000C3DE6"/>
    <w:rsid w:val="0010447F"/>
    <w:rsid w:val="001522DA"/>
    <w:rsid w:val="0016300D"/>
    <w:rsid w:val="001659C9"/>
    <w:rsid w:val="001662CE"/>
    <w:rsid w:val="0018498B"/>
    <w:rsid w:val="001D103B"/>
    <w:rsid w:val="002303DA"/>
    <w:rsid w:val="00352F53"/>
    <w:rsid w:val="00371FFE"/>
    <w:rsid w:val="00390CBF"/>
    <w:rsid w:val="003A6CC8"/>
    <w:rsid w:val="003B3FC8"/>
    <w:rsid w:val="003C73F3"/>
    <w:rsid w:val="003D5F95"/>
    <w:rsid w:val="003E4115"/>
    <w:rsid w:val="003E75ED"/>
    <w:rsid w:val="00490842"/>
    <w:rsid w:val="004A4750"/>
    <w:rsid w:val="004C71E2"/>
    <w:rsid w:val="00533064"/>
    <w:rsid w:val="005A40D8"/>
    <w:rsid w:val="005E0F9F"/>
    <w:rsid w:val="00652D5B"/>
    <w:rsid w:val="006B1204"/>
    <w:rsid w:val="006C749A"/>
    <w:rsid w:val="00791094"/>
    <w:rsid w:val="007B536F"/>
    <w:rsid w:val="007F2027"/>
    <w:rsid w:val="00855030"/>
    <w:rsid w:val="00863A10"/>
    <w:rsid w:val="008F4633"/>
    <w:rsid w:val="00901EA8"/>
    <w:rsid w:val="0092067F"/>
    <w:rsid w:val="00942799"/>
    <w:rsid w:val="0096265E"/>
    <w:rsid w:val="0098575F"/>
    <w:rsid w:val="009B6457"/>
    <w:rsid w:val="00A130DB"/>
    <w:rsid w:val="00A27DD1"/>
    <w:rsid w:val="00A90901"/>
    <w:rsid w:val="00A944E2"/>
    <w:rsid w:val="00AC401F"/>
    <w:rsid w:val="00AE63A6"/>
    <w:rsid w:val="00B52ABC"/>
    <w:rsid w:val="00BA7B42"/>
    <w:rsid w:val="00C17732"/>
    <w:rsid w:val="00C745B5"/>
    <w:rsid w:val="00C81CA8"/>
    <w:rsid w:val="00C92FF2"/>
    <w:rsid w:val="00D00B98"/>
    <w:rsid w:val="00D65526"/>
    <w:rsid w:val="00D67015"/>
    <w:rsid w:val="00D70051"/>
    <w:rsid w:val="00E60D6E"/>
    <w:rsid w:val="00E72D88"/>
    <w:rsid w:val="00E82D74"/>
    <w:rsid w:val="00F325FF"/>
    <w:rsid w:val="00F37666"/>
    <w:rsid w:val="00F90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F95"/>
    <w:pPr>
      <w:ind w:left="720"/>
      <w:contextualSpacing/>
    </w:pPr>
  </w:style>
</w:styles>
</file>

<file path=word/webSettings.xml><?xml version="1.0" encoding="utf-8"?>
<w:webSettings xmlns:r="http://schemas.openxmlformats.org/officeDocument/2006/relationships" xmlns:w="http://schemas.openxmlformats.org/wordprocessingml/2006/main">
  <w:divs>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11</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natasa.vukcevic</dc:creator>
  <cp:lastModifiedBy>dusica.jovanovic</cp:lastModifiedBy>
  <cp:revision>6</cp:revision>
  <cp:lastPrinted>2006-09-08T06:45:00Z</cp:lastPrinted>
  <dcterms:created xsi:type="dcterms:W3CDTF">2015-04-06T10:13:00Z</dcterms:created>
  <dcterms:modified xsi:type="dcterms:W3CDTF">2015-04-06T12:45:00Z</dcterms:modified>
</cp:coreProperties>
</file>